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8E" w:rsidRDefault="00E74B8E" w:rsidP="00E74B8E">
      <w:pPr>
        <w:jc w:val="both"/>
        <w:rPr>
          <w:rFonts w:ascii="Arial" w:hAnsi="Arial" w:cs="Arial"/>
        </w:rPr>
      </w:pPr>
      <w:bookmarkStart w:id="0" w:name="_GoBack"/>
      <w:bookmarkEnd w:id="0"/>
    </w:p>
    <w:p w:rsidR="00E74B8E" w:rsidRPr="00577076" w:rsidRDefault="00E74B8E" w:rsidP="00E74B8E">
      <w:pPr>
        <w:jc w:val="both"/>
        <w:rPr>
          <w:rFonts w:ascii="Arial" w:hAnsi="Arial" w:cs="Arial"/>
          <w:sz w:val="22"/>
          <w:szCs w:val="22"/>
        </w:rPr>
      </w:pPr>
    </w:p>
    <w:p w:rsidR="00E74B8E" w:rsidRPr="00577076" w:rsidRDefault="00E74B8E" w:rsidP="00E74B8E">
      <w:pPr>
        <w:jc w:val="both"/>
        <w:rPr>
          <w:rFonts w:ascii="Arial" w:hAnsi="Arial" w:cs="Arial"/>
          <w:sz w:val="22"/>
          <w:szCs w:val="22"/>
        </w:rPr>
      </w:pPr>
    </w:p>
    <w:p w:rsidR="000D01D0" w:rsidRPr="00577076" w:rsidRDefault="000D01D0" w:rsidP="000D01D0">
      <w:pPr>
        <w:jc w:val="right"/>
        <w:rPr>
          <w:rFonts w:ascii="Arial" w:hAnsi="Arial" w:cs="Arial"/>
          <w:b/>
          <w:sz w:val="22"/>
          <w:szCs w:val="22"/>
          <w:u w:val="single"/>
        </w:rPr>
      </w:pPr>
      <w:r w:rsidRPr="00577076">
        <w:rPr>
          <w:rFonts w:ascii="Arial" w:hAnsi="Arial" w:cs="Arial"/>
          <w:b/>
          <w:sz w:val="22"/>
          <w:szCs w:val="22"/>
          <w:u w:val="single"/>
        </w:rPr>
        <w:t>CASO Nº …</w:t>
      </w:r>
      <w:proofErr w:type="gramStart"/>
      <w:r w:rsidRPr="00577076">
        <w:rPr>
          <w:rFonts w:ascii="Arial" w:hAnsi="Arial" w:cs="Arial"/>
          <w:b/>
          <w:sz w:val="22"/>
          <w:szCs w:val="22"/>
          <w:u w:val="single"/>
        </w:rPr>
        <w:t>..</w:t>
      </w:r>
      <w:proofErr w:type="gramEnd"/>
      <w:r w:rsidRPr="00577076">
        <w:rPr>
          <w:rFonts w:ascii="Arial" w:hAnsi="Arial" w:cs="Arial"/>
          <w:b/>
          <w:sz w:val="22"/>
          <w:szCs w:val="22"/>
          <w:u w:val="single"/>
        </w:rPr>
        <w:t xml:space="preserve"> 2016</w:t>
      </w:r>
    </w:p>
    <w:p w:rsidR="000D01D0" w:rsidRPr="00577076" w:rsidRDefault="000D01D0" w:rsidP="000D01D0">
      <w:pPr>
        <w:jc w:val="right"/>
        <w:rPr>
          <w:rFonts w:ascii="Arial" w:hAnsi="Arial" w:cs="Arial"/>
          <w:b/>
          <w:sz w:val="22"/>
          <w:szCs w:val="22"/>
        </w:rPr>
      </w:pPr>
    </w:p>
    <w:p w:rsidR="000D01D0" w:rsidRPr="00577076" w:rsidRDefault="000D01D0" w:rsidP="000D01D0">
      <w:pPr>
        <w:jc w:val="center"/>
        <w:rPr>
          <w:rFonts w:ascii="Arial" w:hAnsi="Arial" w:cs="Arial"/>
          <w:sz w:val="22"/>
          <w:szCs w:val="22"/>
        </w:rPr>
      </w:pPr>
      <w:r w:rsidRPr="00577076">
        <w:rPr>
          <w:rFonts w:ascii="Arial" w:hAnsi="Arial" w:cs="Arial"/>
          <w:b/>
          <w:sz w:val="22"/>
          <w:szCs w:val="22"/>
        </w:rPr>
        <w:t>DISPOSICIÓN FISCAL Nº 01­2016­FS/JL</w:t>
      </w:r>
    </w:p>
    <w:p w:rsidR="000D01D0" w:rsidRPr="00577076" w:rsidRDefault="000D01D0" w:rsidP="000D01D0">
      <w:pPr>
        <w:jc w:val="both"/>
        <w:rPr>
          <w:rFonts w:ascii="Arial" w:hAnsi="Arial" w:cs="Arial"/>
          <w:sz w:val="22"/>
          <w:szCs w:val="22"/>
        </w:rPr>
      </w:pPr>
    </w:p>
    <w:p w:rsidR="000D01D0" w:rsidRPr="00577076" w:rsidRDefault="000D01D0" w:rsidP="000D01D0">
      <w:pPr>
        <w:jc w:val="both"/>
        <w:rPr>
          <w:rFonts w:ascii="Arial" w:hAnsi="Arial" w:cs="Arial"/>
          <w:sz w:val="22"/>
          <w:szCs w:val="22"/>
        </w:rPr>
      </w:pPr>
      <w:r w:rsidRPr="00577076">
        <w:rPr>
          <w:rFonts w:ascii="Arial" w:hAnsi="Arial" w:cs="Arial"/>
          <w:sz w:val="22"/>
          <w:szCs w:val="22"/>
        </w:rPr>
        <w:t xml:space="preserve">Lima, diez de abril   </w:t>
      </w:r>
    </w:p>
    <w:p w:rsidR="000D01D0" w:rsidRPr="00577076" w:rsidRDefault="000D01D0" w:rsidP="000D01D0">
      <w:pPr>
        <w:jc w:val="both"/>
        <w:rPr>
          <w:rFonts w:ascii="Arial" w:hAnsi="Arial" w:cs="Arial"/>
          <w:sz w:val="22"/>
          <w:szCs w:val="22"/>
        </w:rPr>
      </w:pPr>
      <w:proofErr w:type="gramStart"/>
      <w:r w:rsidRPr="00577076">
        <w:rPr>
          <w:rFonts w:ascii="Arial" w:hAnsi="Arial" w:cs="Arial"/>
          <w:sz w:val="22"/>
          <w:szCs w:val="22"/>
        </w:rPr>
        <w:t>del</w:t>
      </w:r>
      <w:proofErr w:type="gramEnd"/>
      <w:r w:rsidRPr="00577076">
        <w:rPr>
          <w:rFonts w:ascii="Arial" w:hAnsi="Arial" w:cs="Arial"/>
          <w:sz w:val="22"/>
          <w:szCs w:val="22"/>
        </w:rPr>
        <w:t xml:space="preserve"> año dos mil dieciséis.­</w:t>
      </w:r>
    </w:p>
    <w:p w:rsidR="000D01D0" w:rsidRPr="00577076" w:rsidRDefault="000D01D0" w:rsidP="000D01D0">
      <w:pPr>
        <w:jc w:val="both"/>
        <w:rPr>
          <w:rFonts w:ascii="Arial" w:hAnsi="Arial" w:cs="Arial"/>
          <w:sz w:val="22"/>
          <w:szCs w:val="22"/>
        </w:rPr>
      </w:pPr>
    </w:p>
    <w:p w:rsidR="000D01D0" w:rsidRPr="00577076" w:rsidRDefault="000D01D0" w:rsidP="000D01D0">
      <w:pPr>
        <w:jc w:val="both"/>
        <w:rPr>
          <w:rFonts w:ascii="Arial" w:hAnsi="Arial" w:cs="Arial"/>
          <w:sz w:val="22"/>
          <w:szCs w:val="22"/>
        </w:rPr>
      </w:pPr>
      <w:r w:rsidRPr="00577076">
        <w:rPr>
          <w:rFonts w:ascii="Arial" w:hAnsi="Arial" w:cs="Arial"/>
          <w:b/>
          <w:sz w:val="22"/>
          <w:szCs w:val="22"/>
        </w:rPr>
        <w:t>DADO CUENTA</w:t>
      </w:r>
      <w:r w:rsidRPr="00577076">
        <w:rPr>
          <w:rFonts w:ascii="Arial" w:hAnsi="Arial" w:cs="Arial"/>
          <w:sz w:val="22"/>
          <w:szCs w:val="22"/>
        </w:rPr>
        <w:t>:</w:t>
      </w:r>
    </w:p>
    <w:p w:rsidR="000D01D0" w:rsidRPr="00577076" w:rsidRDefault="000D01D0" w:rsidP="000D01D0">
      <w:pPr>
        <w:jc w:val="both"/>
        <w:rPr>
          <w:rFonts w:ascii="Arial" w:hAnsi="Arial" w:cs="Arial"/>
          <w:i/>
          <w:sz w:val="22"/>
          <w:szCs w:val="22"/>
        </w:rPr>
      </w:pPr>
      <w:r w:rsidRPr="00577076">
        <w:rPr>
          <w:rFonts w:ascii="Arial" w:hAnsi="Arial" w:cs="Arial"/>
          <w:sz w:val="22"/>
          <w:szCs w:val="22"/>
        </w:rPr>
        <w:t xml:space="preserve">La Resolución de Fiscalía de la Nación Nº 1978-2011-MP-FN, de fecha 10 de octubre del dos mil once, que aprueba la Directiva que regula la Carpeta Fiscal del Programa </w:t>
      </w:r>
      <w:r w:rsidRPr="00577076">
        <w:rPr>
          <w:rFonts w:ascii="Arial" w:hAnsi="Arial" w:cs="Arial"/>
          <w:i/>
          <w:sz w:val="22"/>
          <w:szCs w:val="22"/>
        </w:rPr>
        <w:t xml:space="preserve">Jóvenes Líderes </w:t>
      </w:r>
      <w:r w:rsidRPr="00577076">
        <w:rPr>
          <w:rFonts w:ascii="Arial" w:hAnsi="Arial" w:cs="Arial"/>
          <w:sz w:val="22"/>
          <w:szCs w:val="22"/>
        </w:rPr>
        <w:t>del Ministerio Público,</w:t>
      </w:r>
      <w:r w:rsidRPr="00577076">
        <w:rPr>
          <w:rFonts w:ascii="Arial" w:hAnsi="Arial" w:cs="Arial"/>
          <w:i/>
          <w:sz w:val="22"/>
          <w:szCs w:val="22"/>
        </w:rPr>
        <w:t xml:space="preserve"> </w:t>
      </w:r>
    </w:p>
    <w:p w:rsidR="000D01D0" w:rsidRPr="00577076" w:rsidRDefault="000D01D0" w:rsidP="000D01D0">
      <w:pPr>
        <w:jc w:val="both"/>
        <w:rPr>
          <w:rFonts w:ascii="Arial" w:hAnsi="Arial" w:cs="Arial"/>
          <w:sz w:val="22"/>
          <w:szCs w:val="22"/>
        </w:rPr>
      </w:pPr>
    </w:p>
    <w:p w:rsidR="000D01D0" w:rsidRPr="00577076" w:rsidRDefault="000D01D0" w:rsidP="000D01D0">
      <w:pPr>
        <w:jc w:val="both"/>
        <w:rPr>
          <w:rFonts w:ascii="Arial" w:hAnsi="Arial" w:cs="Arial"/>
          <w:sz w:val="22"/>
          <w:szCs w:val="22"/>
        </w:rPr>
      </w:pPr>
      <w:r w:rsidRPr="00577076">
        <w:rPr>
          <w:rFonts w:ascii="Arial" w:hAnsi="Arial" w:cs="Arial"/>
          <w:b/>
          <w:sz w:val="22"/>
          <w:szCs w:val="22"/>
        </w:rPr>
        <w:t>ATENDIENDO</w:t>
      </w:r>
      <w:r w:rsidRPr="00577076">
        <w:rPr>
          <w:rFonts w:ascii="Arial" w:hAnsi="Arial" w:cs="Arial"/>
          <w:sz w:val="22"/>
          <w:szCs w:val="22"/>
        </w:rPr>
        <w:t>:</w:t>
      </w:r>
    </w:p>
    <w:p w:rsidR="000D01D0" w:rsidRPr="00577076" w:rsidRDefault="000D01D0" w:rsidP="000D01D0">
      <w:pPr>
        <w:jc w:val="both"/>
        <w:rPr>
          <w:rFonts w:ascii="Arial" w:hAnsi="Arial" w:cs="Arial"/>
          <w:sz w:val="22"/>
          <w:szCs w:val="22"/>
        </w:rPr>
      </w:pPr>
    </w:p>
    <w:p w:rsidR="000D01D0" w:rsidRPr="00577076" w:rsidRDefault="000D01D0" w:rsidP="000D01D0">
      <w:pPr>
        <w:numPr>
          <w:ilvl w:val="0"/>
          <w:numId w:val="1"/>
        </w:numPr>
        <w:ind w:left="709" w:hanging="283"/>
        <w:jc w:val="both"/>
        <w:rPr>
          <w:rFonts w:ascii="Arial" w:hAnsi="Arial" w:cs="Arial"/>
          <w:sz w:val="22"/>
          <w:szCs w:val="22"/>
        </w:rPr>
      </w:pPr>
      <w:r w:rsidRPr="00577076">
        <w:rPr>
          <w:rFonts w:ascii="Arial" w:hAnsi="Arial" w:cs="Arial"/>
          <w:sz w:val="22"/>
          <w:szCs w:val="22"/>
        </w:rPr>
        <w:t>La nueva política de trabajo del Ministerio Público que enfrenta al delito no sólo investigando y requiriendo la sanción penal, sino además identificando y contribuyendo a minimizar las causas de su comisión, según lo dispuesto en la Resolución de la Fiscalía de la Nación Nº 144­2010­MP­FN;</w:t>
      </w:r>
    </w:p>
    <w:p w:rsidR="000D01D0" w:rsidRPr="00577076" w:rsidRDefault="000D01D0" w:rsidP="000D01D0">
      <w:pPr>
        <w:numPr>
          <w:ilvl w:val="0"/>
          <w:numId w:val="1"/>
        </w:numPr>
        <w:ind w:left="709" w:hanging="283"/>
        <w:jc w:val="both"/>
        <w:rPr>
          <w:rFonts w:ascii="Arial" w:hAnsi="Arial" w:cs="Arial"/>
          <w:sz w:val="22"/>
          <w:szCs w:val="22"/>
        </w:rPr>
      </w:pPr>
      <w:r w:rsidRPr="00577076">
        <w:rPr>
          <w:rFonts w:ascii="Arial" w:hAnsi="Arial" w:cs="Arial"/>
          <w:sz w:val="22"/>
          <w:szCs w:val="22"/>
        </w:rPr>
        <w:t xml:space="preserve">Que, el Programa </w:t>
      </w:r>
      <w:r w:rsidRPr="00577076">
        <w:rPr>
          <w:rFonts w:ascii="Arial" w:hAnsi="Arial" w:cs="Arial"/>
          <w:i/>
          <w:sz w:val="22"/>
          <w:szCs w:val="22"/>
        </w:rPr>
        <w:t xml:space="preserve">Jóvenes Líderes </w:t>
      </w:r>
      <w:r w:rsidRPr="00577076">
        <w:rPr>
          <w:rFonts w:ascii="Arial" w:hAnsi="Arial" w:cs="Arial"/>
          <w:sz w:val="22"/>
          <w:szCs w:val="22"/>
        </w:rPr>
        <w:t xml:space="preserve">realiza acciones estratégicas que contribuyan a la prevención de delitos y seguridad ciudadana atacando la situación de riesgo infractor o delictivo de adolescentes y jóvenes, de quienes se dice que infringen la ley penal o que se encuentran en inminente riesgo en zonas focalizadas del país, de acuerdo a lineamientos establecidos por el Programa. </w:t>
      </w:r>
    </w:p>
    <w:p w:rsidR="009A0ABA" w:rsidRPr="00577076" w:rsidRDefault="000D01D0" w:rsidP="009A0ABA">
      <w:pPr>
        <w:numPr>
          <w:ilvl w:val="0"/>
          <w:numId w:val="1"/>
        </w:numPr>
        <w:ind w:left="709" w:hanging="283"/>
        <w:jc w:val="both"/>
        <w:rPr>
          <w:rFonts w:ascii="Arial" w:hAnsi="Arial" w:cs="Arial"/>
          <w:sz w:val="22"/>
          <w:szCs w:val="22"/>
        </w:rPr>
      </w:pPr>
      <w:r w:rsidRPr="00577076">
        <w:rPr>
          <w:rFonts w:ascii="Arial" w:hAnsi="Arial" w:cs="Arial"/>
          <w:sz w:val="22"/>
          <w:szCs w:val="22"/>
        </w:rPr>
        <w:t>Que, el artículo 3 de la Convención sobre los Derechos del Niño dispone que en todas las medidas concernientes a los niños que tomen las instituciones públicas o privadas de bienestar social, los tribunales, las autoridades administrativas o los órganos legislativos, el interés superior del niño debe ser una consideración primordial a la que se debe atender</w:t>
      </w:r>
      <w:r w:rsidRPr="00577076">
        <w:rPr>
          <w:rFonts w:ascii="Arial" w:hAnsi="Arial" w:cs="Arial"/>
          <w:sz w:val="22"/>
          <w:szCs w:val="22"/>
          <w:vertAlign w:val="superscript"/>
        </w:rPr>
        <w:footnoteReference w:id="1"/>
      </w:r>
      <w:r w:rsidRPr="00577076">
        <w:rPr>
          <w:rFonts w:ascii="Arial" w:hAnsi="Arial" w:cs="Arial"/>
          <w:sz w:val="22"/>
          <w:szCs w:val="22"/>
        </w:rPr>
        <w:t>.</w:t>
      </w:r>
    </w:p>
    <w:p w:rsidR="009A0ABA" w:rsidRPr="00577076" w:rsidRDefault="000D01D0" w:rsidP="009A0ABA">
      <w:pPr>
        <w:numPr>
          <w:ilvl w:val="0"/>
          <w:numId w:val="1"/>
        </w:numPr>
        <w:ind w:left="709" w:hanging="283"/>
        <w:jc w:val="both"/>
        <w:rPr>
          <w:rFonts w:ascii="Arial" w:hAnsi="Arial" w:cs="Arial"/>
          <w:sz w:val="22"/>
          <w:szCs w:val="22"/>
        </w:rPr>
      </w:pPr>
      <w:r w:rsidRPr="00577076">
        <w:rPr>
          <w:rFonts w:ascii="Arial" w:hAnsi="Arial" w:cs="Arial"/>
          <w:sz w:val="22"/>
          <w:szCs w:val="22"/>
        </w:rPr>
        <w:t xml:space="preserve">El </w:t>
      </w:r>
      <w:r w:rsidR="009A0ABA" w:rsidRPr="00577076">
        <w:rPr>
          <w:rFonts w:ascii="Arial" w:hAnsi="Arial" w:cs="Arial"/>
          <w:sz w:val="22"/>
          <w:szCs w:val="22"/>
        </w:rPr>
        <w:t xml:space="preserve">es </w:t>
      </w:r>
      <w:r w:rsidRPr="00577076">
        <w:rPr>
          <w:rFonts w:ascii="Arial" w:hAnsi="Arial" w:cs="Arial"/>
          <w:sz w:val="22"/>
          <w:szCs w:val="22"/>
        </w:rPr>
        <w:t xml:space="preserve">deber estatal </w:t>
      </w:r>
      <w:r w:rsidR="009A0ABA" w:rsidRPr="00577076">
        <w:rPr>
          <w:rFonts w:ascii="Arial" w:hAnsi="Arial" w:cs="Arial"/>
          <w:sz w:val="22"/>
          <w:szCs w:val="22"/>
        </w:rPr>
        <w:t>la</w:t>
      </w:r>
      <w:r w:rsidRPr="00577076">
        <w:rPr>
          <w:rFonts w:ascii="Arial" w:hAnsi="Arial" w:cs="Arial"/>
          <w:sz w:val="22"/>
          <w:szCs w:val="22"/>
        </w:rPr>
        <w:t xml:space="preserve"> protección de los derechos de los niños, niñas y adolescentes</w:t>
      </w:r>
      <w:r w:rsidR="009A0ABA" w:rsidRPr="00577076">
        <w:rPr>
          <w:rFonts w:ascii="Arial" w:hAnsi="Arial" w:cs="Arial"/>
          <w:sz w:val="22"/>
          <w:szCs w:val="22"/>
        </w:rPr>
        <w:t xml:space="preserve"> y se </w:t>
      </w:r>
      <w:r w:rsidRPr="00577076">
        <w:rPr>
          <w:rFonts w:ascii="Arial" w:hAnsi="Arial" w:cs="Arial"/>
          <w:sz w:val="22"/>
          <w:szCs w:val="22"/>
        </w:rPr>
        <w:t xml:space="preserve"> limita el ejercicio del poder punitivo de los Estados, en el sentido de que las autoridades estatales deben tomar en especial consideración la situación distinta en la que se encuentran los menores de edad aquéllos se encuentran y sus necesidades especiales de protección. Esto se aplica tanto para la determinación de la responsabilidad por infracciones a leyes penales como para la aplicación de las consecuencias de dicha responsabilidad</w:t>
      </w:r>
      <w:r w:rsidRPr="00577076">
        <w:rPr>
          <w:rFonts w:ascii="Arial" w:hAnsi="Arial" w:cs="Arial"/>
          <w:sz w:val="22"/>
          <w:szCs w:val="22"/>
          <w:vertAlign w:val="superscript"/>
        </w:rPr>
        <w:footnoteReference w:id="2"/>
      </w:r>
      <w:r w:rsidRPr="00577076">
        <w:rPr>
          <w:rFonts w:ascii="Arial" w:hAnsi="Arial" w:cs="Arial"/>
          <w:sz w:val="22"/>
          <w:szCs w:val="22"/>
        </w:rPr>
        <w:t xml:space="preserve">. </w:t>
      </w:r>
      <w:r w:rsidR="009A0ABA" w:rsidRPr="00577076">
        <w:rPr>
          <w:rFonts w:ascii="Arial" w:hAnsi="Arial" w:cs="Arial"/>
          <w:sz w:val="22"/>
          <w:szCs w:val="22"/>
        </w:rPr>
        <w:t>Por ello, los niños, niñas y adolescentes que han infringido o han sido acusados de infringir leyes penales no sólo deben recibir las mismas garantías que los adultos, sino, además, una protección especial</w:t>
      </w:r>
      <w:r w:rsidR="009A0ABA" w:rsidRPr="00577076">
        <w:rPr>
          <w:rFonts w:ascii="Arial" w:hAnsi="Arial" w:cs="Arial"/>
          <w:sz w:val="22"/>
          <w:szCs w:val="22"/>
          <w:vertAlign w:val="superscript"/>
        </w:rPr>
        <w:footnoteReference w:id="3"/>
      </w:r>
      <w:r w:rsidR="009A0ABA" w:rsidRPr="00577076">
        <w:rPr>
          <w:rFonts w:ascii="Arial" w:hAnsi="Arial" w:cs="Arial"/>
          <w:sz w:val="22"/>
          <w:szCs w:val="22"/>
        </w:rPr>
        <w:t xml:space="preserve">. </w:t>
      </w:r>
    </w:p>
    <w:p w:rsidR="009A0ABA" w:rsidRPr="00577076" w:rsidRDefault="009A0ABA" w:rsidP="009A0ABA">
      <w:pPr>
        <w:numPr>
          <w:ilvl w:val="0"/>
          <w:numId w:val="1"/>
        </w:numPr>
        <w:ind w:left="709" w:hanging="283"/>
        <w:jc w:val="both"/>
        <w:rPr>
          <w:rFonts w:ascii="Arial" w:hAnsi="Arial" w:cs="Arial"/>
          <w:sz w:val="22"/>
          <w:szCs w:val="22"/>
        </w:rPr>
      </w:pPr>
      <w:r w:rsidRPr="00577076">
        <w:rPr>
          <w:rFonts w:ascii="Arial" w:hAnsi="Arial" w:cs="Arial"/>
          <w:sz w:val="22"/>
          <w:szCs w:val="22"/>
        </w:rPr>
        <w:t>La protección de este interés implica que la represión y el castigo, objetivos tradicionales de la justicia penal, sean sustituidos por una justicia especial, enfocada a la restauración del daño y a la rehabilitación y reinserción social de la niña, niño o adolescente, recurriendo lo menos posible a procedimientos judiciales, a medidas cautelares o a sanciones privativas de la libertad.</w:t>
      </w:r>
      <w:r w:rsidRPr="00577076">
        <w:rPr>
          <w:rStyle w:val="Caracteresdenotaalpie"/>
          <w:rFonts w:ascii="Arial" w:eastAsia="Calibri" w:hAnsi="Arial" w:cs="Arial"/>
          <w:sz w:val="22"/>
          <w:szCs w:val="22"/>
        </w:rPr>
        <w:footnoteReference w:id="4"/>
      </w:r>
    </w:p>
    <w:p w:rsidR="009A0ABA" w:rsidRPr="00577076" w:rsidRDefault="009A0ABA" w:rsidP="009A0ABA">
      <w:pPr>
        <w:ind w:left="709"/>
        <w:jc w:val="both"/>
        <w:rPr>
          <w:rFonts w:ascii="Arial" w:hAnsi="Arial" w:cs="Arial"/>
          <w:sz w:val="22"/>
          <w:szCs w:val="22"/>
        </w:rPr>
      </w:pPr>
    </w:p>
    <w:p w:rsidR="009A0ABA" w:rsidRPr="00577076" w:rsidRDefault="009A0ABA" w:rsidP="009A0ABA">
      <w:pPr>
        <w:numPr>
          <w:ilvl w:val="0"/>
          <w:numId w:val="1"/>
        </w:numPr>
        <w:ind w:left="709" w:hanging="283"/>
        <w:jc w:val="both"/>
        <w:rPr>
          <w:rFonts w:ascii="Arial" w:hAnsi="Arial" w:cs="Arial"/>
          <w:sz w:val="22"/>
          <w:szCs w:val="22"/>
        </w:rPr>
      </w:pPr>
      <w:r w:rsidRPr="00577076">
        <w:rPr>
          <w:rFonts w:ascii="Arial" w:hAnsi="Arial" w:cs="Arial"/>
          <w:sz w:val="22"/>
          <w:szCs w:val="22"/>
        </w:rPr>
        <w:t xml:space="preserve">Por su parte, las </w:t>
      </w:r>
      <w:r w:rsidRPr="00577076">
        <w:rPr>
          <w:rFonts w:ascii="Arial" w:hAnsi="Arial" w:cs="Arial"/>
          <w:bCs/>
          <w:sz w:val="22"/>
          <w:szCs w:val="22"/>
        </w:rPr>
        <w:t>Directrices de las Naciones Unidas para la Prevención de la Delincuencia Juvenil</w:t>
      </w:r>
      <w:r w:rsidRPr="00577076">
        <w:rPr>
          <w:rFonts w:ascii="Arial" w:hAnsi="Arial" w:cs="Arial"/>
          <w:sz w:val="22"/>
          <w:szCs w:val="22"/>
        </w:rPr>
        <w:t>, conocido también como las Directrices de Riad, fundamenta el enfoque preventivo, recomendando a los Estados cumplir con brindar los servicios básicos necesarios como oportunidades de empleo, satisfacción de las necesidades de sus habitantes y la generación de condiciones de vida dignas atendiendo sobre todo a aquellos grupos vulnerables, como los niños, beneficiando a los sectores marginados, propiciando el apoyo a las familias de escasos recursos, la promoción del deporte y actividades culturales, así como la participación de los jóvenes en la comunidad.</w:t>
      </w:r>
    </w:p>
    <w:p w:rsidR="00577076" w:rsidRPr="00577076" w:rsidRDefault="00577076" w:rsidP="00577076">
      <w:pPr>
        <w:pStyle w:val="Prrafodelista"/>
        <w:rPr>
          <w:rFonts w:ascii="Arial" w:hAnsi="Arial" w:cs="Arial"/>
        </w:rPr>
      </w:pPr>
    </w:p>
    <w:p w:rsidR="00577076" w:rsidRPr="00577076" w:rsidRDefault="00577076" w:rsidP="009A0ABA">
      <w:pPr>
        <w:numPr>
          <w:ilvl w:val="0"/>
          <w:numId w:val="1"/>
        </w:numPr>
        <w:ind w:left="709" w:hanging="283"/>
        <w:jc w:val="both"/>
        <w:rPr>
          <w:rFonts w:ascii="Arial" w:hAnsi="Arial" w:cs="Arial"/>
          <w:sz w:val="22"/>
          <w:szCs w:val="22"/>
        </w:rPr>
      </w:pPr>
      <w:r w:rsidRPr="00577076">
        <w:rPr>
          <w:rFonts w:ascii="Arial" w:hAnsi="Arial" w:cs="Arial"/>
          <w:sz w:val="22"/>
          <w:szCs w:val="22"/>
        </w:rPr>
        <w:t>Estando a los antecedentes y la ficha de descripción individual que refleja situación especial a atender en beneficio del adolescente ……………….. identificado por el Programa Jóvenes Líderes y al contarse con la autorización de su representante legal;</w:t>
      </w:r>
    </w:p>
    <w:p w:rsidR="000D01D0" w:rsidRPr="00577076" w:rsidRDefault="000D01D0" w:rsidP="000D01D0">
      <w:pPr>
        <w:numPr>
          <w:ilvl w:val="0"/>
          <w:numId w:val="1"/>
        </w:numPr>
        <w:ind w:left="709" w:hanging="283"/>
        <w:jc w:val="both"/>
        <w:rPr>
          <w:rFonts w:ascii="Arial" w:hAnsi="Arial" w:cs="Arial"/>
          <w:b/>
          <w:sz w:val="22"/>
          <w:szCs w:val="22"/>
        </w:rPr>
      </w:pPr>
      <w:r w:rsidRPr="00577076">
        <w:rPr>
          <w:rFonts w:ascii="Arial" w:hAnsi="Arial" w:cs="Arial"/>
          <w:sz w:val="22"/>
          <w:szCs w:val="22"/>
        </w:rPr>
        <w:t>En su uso de sus atribuciones y facultades conferidas en los artículos 1°,5°,9°,94° inc.2) del Decreto Legislativo N° 052 – Ley Orgánica del Ministerio Público</w:t>
      </w:r>
      <w:r w:rsidRPr="00577076">
        <w:rPr>
          <w:rStyle w:val="Refdenotaalpie"/>
          <w:rFonts w:ascii="Arial" w:hAnsi="Arial" w:cs="Arial"/>
          <w:sz w:val="22"/>
          <w:szCs w:val="22"/>
        </w:rPr>
        <w:footnoteReference w:id="5"/>
      </w:r>
      <w:r w:rsidRPr="00577076">
        <w:rPr>
          <w:rFonts w:ascii="Arial" w:hAnsi="Arial" w:cs="Arial"/>
          <w:sz w:val="22"/>
          <w:szCs w:val="22"/>
        </w:rPr>
        <w:t>, Resolución de la Fiscalía de la Nación N° 144­2010­MP­FN</w:t>
      </w:r>
      <w:r w:rsidRPr="00577076">
        <w:rPr>
          <w:rStyle w:val="Refdenotaalpie"/>
          <w:rFonts w:ascii="Arial" w:hAnsi="Arial" w:cs="Arial"/>
          <w:sz w:val="22"/>
          <w:szCs w:val="22"/>
        </w:rPr>
        <w:footnoteReference w:id="6"/>
      </w:r>
      <w:r w:rsidRPr="00577076">
        <w:rPr>
          <w:rFonts w:ascii="Arial" w:hAnsi="Arial" w:cs="Arial"/>
          <w:sz w:val="22"/>
          <w:szCs w:val="22"/>
        </w:rPr>
        <w:t xml:space="preserve"> y Resolución de la Fiscalía de la Nación N° 615-2014-MP</w:t>
      </w:r>
      <w:r w:rsidRPr="00577076">
        <w:rPr>
          <w:rStyle w:val="Refdenotaalpie"/>
          <w:rFonts w:ascii="Arial" w:hAnsi="Arial" w:cs="Arial"/>
          <w:sz w:val="22"/>
          <w:szCs w:val="22"/>
        </w:rPr>
        <w:footnoteReference w:id="7"/>
      </w:r>
      <w:r w:rsidRPr="00577076">
        <w:rPr>
          <w:rFonts w:ascii="Arial" w:hAnsi="Arial" w:cs="Arial"/>
          <w:sz w:val="22"/>
          <w:szCs w:val="22"/>
        </w:rPr>
        <w:t xml:space="preserve"> </w:t>
      </w:r>
    </w:p>
    <w:p w:rsidR="000D01D0" w:rsidRPr="00577076" w:rsidRDefault="000D01D0" w:rsidP="000D01D0">
      <w:pPr>
        <w:jc w:val="both"/>
        <w:rPr>
          <w:rFonts w:ascii="Arial" w:hAnsi="Arial" w:cs="Arial"/>
          <w:b/>
          <w:sz w:val="22"/>
          <w:szCs w:val="22"/>
        </w:rPr>
      </w:pPr>
    </w:p>
    <w:p w:rsidR="000D01D0" w:rsidRPr="00577076" w:rsidRDefault="000D01D0" w:rsidP="000D01D0">
      <w:pPr>
        <w:jc w:val="both"/>
        <w:rPr>
          <w:rFonts w:ascii="Arial" w:hAnsi="Arial" w:cs="Arial"/>
          <w:b/>
          <w:sz w:val="22"/>
          <w:szCs w:val="22"/>
        </w:rPr>
      </w:pPr>
    </w:p>
    <w:p w:rsidR="000D01D0" w:rsidRPr="00577076" w:rsidRDefault="000D01D0" w:rsidP="000D01D0">
      <w:pPr>
        <w:jc w:val="both"/>
        <w:rPr>
          <w:rFonts w:ascii="Arial" w:hAnsi="Arial" w:cs="Arial"/>
          <w:sz w:val="22"/>
          <w:szCs w:val="22"/>
        </w:rPr>
      </w:pPr>
      <w:r w:rsidRPr="00577076">
        <w:rPr>
          <w:rFonts w:ascii="Arial" w:hAnsi="Arial" w:cs="Arial"/>
          <w:b/>
          <w:sz w:val="22"/>
          <w:szCs w:val="22"/>
        </w:rPr>
        <w:t>DISPONE</w:t>
      </w:r>
      <w:r w:rsidRPr="00577076">
        <w:rPr>
          <w:rFonts w:ascii="Arial" w:hAnsi="Arial" w:cs="Arial"/>
          <w:sz w:val="22"/>
          <w:szCs w:val="22"/>
        </w:rPr>
        <w:t>:</w:t>
      </w:r>
    </w:p>
    <w:p w:rsidR="000D01D0" w:rsidRPr="00577076" w:rsidRDefault="000D01D0" w:rsidP="000D01D0">
      <w:pPr>
        <w:jc w:val="both"/>
        <w:rPr>
          <w:rFonts w:ascii="Arial" w:hAnsi="Arial" w:cs="Arial"/>
          <w:sz w:val="22"/>
          <w:szCs w:val="22"/>
        </w:rPr>
      </w:pPr>
    </w:p>
    <w:p w:rsidR="000D01D0" w:rsidRPr="00577076" w:rsidRDefault="000D01D0" w:rsidP="000D01D0">
      <w:pPr>
        <w:tabs>
          <w:tab w:val="left" w:pos="1560"/>
        </w:tabs>
        <w:jc w:val="both"/>
        <w:rPr>
          <w:rFonts w:ascii="Arial" w:hAnsi="Arial" w:cs="Arial"/>
          <w:sz w:val="22"/>
          <w:szCs w:val="22"/>
        </w:rPr>
      </w:pPr>
      <w:r w:rsidRPr="00577076">
        <w:rPr>
          <w:rFonts w:ascii="Arial" w:hAnsi="Arial" w:cs="Arial"/>
          <w:b/>
          <w:sz w:val="22"/>
          <w:szCs w:val="22"/>
        </w:rPr>
        <w:t>Primero</w:t>
      </w:r>
      <w:r w:rsidRPr="00577076">
        <w:rPr>
          <w:rFonts w:ascii="Arial" w:hAnsi="Arial" w:cs="Arial"/>
          <w:sz w:val="22"/>
          <w:szCs w:val="22"/>
        </w:rPr>
        <w:t xml:space="preserve">.­ </w:t>
      </w:r>
      <w:r w:rsidR="009A0ABA" w:rsidRPr="00577076">
        <w:rPr>
          <w:rFonts w:ascii="Arial" w:hAnsi="Arial" w:cs="Arial"/>
          <w:sz w:val="22"/>
          <w:szCs w:val="22"/>
        </w:rPr>
        <w:t>Abrase una carpeta fiscal de atención en el Programa Jóvenes Líderes a favor del adolescente …………………..</w:t>
      </w:r>
    </w:p>
    <w:p w:rsidR="000D01D0" w:rsidRPr="00577076" w:rsidRDefault="000D01D0" w:rsidP="000D01D0">
      <w:pPr>
        <w:jc w:val="both"/>
        <w:rPr>
          <w:rFonts w:ascii="Arial" w:hAnsi="Arial" w:cs="Arial"/>
          <w:sz w:val="22"/>
          <w:szCs w:val="22"/>
        </w:rPr>
      </w:pPr>
      <w:r w:rsidRPr="00577076">
        <w:rPr>
          <w:rFonts w:ascii="Arial" w:hAnsi="Arial" w:cs="Arial"/>
          <w:b/>
          <w:sz w:val="22"/>
          <w:szCs w:val="22"/>
        </w:rPr>
        <w:t>Segundo.</w:t>
      </w:r>
      <w:r w:rsidR="00577076" w:rsidRPr="00577076">
        <w:rPr>
          <w:rFonts w:ascii="Arial" w:hAnsi="Arial" w:cs="Arial"/>
          <w:sz w:val="22"/>
          <w:szCs w:val="22"/>
        </w:rPr>
        <w:t>­ Realícense las actividades de orientación y generación de oportunidades en vía de prevención y</w:t>
      </w:r>
      <w:r w:rsidRPr="00577076">
        <w:rPr>
          <w:rFonts w:ascii="Arial" w:hAnsi="Arial" w:cs="Arial"/>
          <w:sz w:val="22"/>
          <w:szCs w:val="22"/>
        </w:rPr>
        <w:t xml:space="preserve"> demás diligencias que estime pertinentes y conducentes a los objetivos y fines del Programa. Tómese razón, y hágase saber.­­­­­­­­­­­---------------</w:t>
      </w:r>
    </w:p>
    <w:p w:rsidR="000D01D0" w:rsidRPr="00577076" w:rsidRDefault="000D01D0" w:rsidP="000D01D0">
      <w:pPr>
        <w:jc w:val="both"/>
        <w:rPr>
          <w:rFonts w:ascii="Arial" w:hAnsi="Arial" w:cs="Arial"/>
          <w:sz w:val="22"/>
          <w:szCs w:val="22"/>
        </w:rPr>
      </w:pPr>
    </w:p>
    <w:p w:rsidR="000D01D0" w:rsidRPr="00577076" w:rsidRDefault="000D01D0" w:rsidP="000D01D0">
      <w:pPr>
        <w:jc w:val="both"/>
        <w:rPr>
          <w:rFonts w:ascii="Arial" w:hAnsi="Arial" w:cs="Arial"/>
          <w:sz w:val="22"/>
          <w:szCs w:val="22"/>
        </w:rPr>
      </w:pPr>
      <w:r w:rsidRPr="00577076">
        <w:rPr>
          <w:rFonts w:ascii="Arial" w:hAnsi="Arial" w:cs="Arial"/>
          <w:i/>
          <w:sz w:val="22"/>
          <w:szCs w:val="22"/>
        </w:rPr>
        <w:t>LDLA/</w:t>
      </w:r>
    </w:p>
    <w:p w:rsidR="000D01D0" w:rsidRPr="00577076" w:rsidRDefault="000D01D0" w:rsidP="000D01D0">
      <w:pPr>
        <w:jc w:val="right"/>
        <w:rPr>
          <w:rFonts w:ascii="Arial" w:hAnsi="Arial" w:cs="Arial"/>
          <w:b/>
          <w:sz w:val="22"/>
          <w:szCs w:val="22"/>
        </w:rPr>
      </w:pPr>
    </w:p>
    <w:p w:rsidR="000D01D0" w:rsidRPr="00577076" w:rsidRDefault="000D01D0" w:rsidP="000D01D0">
      <w:pPr>
        <w:jc w:val="right"/>
        <w:rPr>
          <w:rFonts w:ascii="Arial" w:hAnsi="Arial" w:cs="Arial"/>
          <w:b/>
          <w:sz w:val="22"/>
          <w:szCs w:val="22"/>
        </w:rPr>
      </w:pPr>
    </w:p>
    <w:sectPr w:rsidR="000D01D0" w:rsidRPr="00577076" w:rsidSect="00203D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3D" w:rsidRDefault="00EC0F3D" w:rsidP="00E74B8E">
      <w:r>
        <w:separator/>
      </w:r>
    </w:p>
  </w:endnote>
  <w:endnote w:type="continuationSeparator" w:id="0">
    <w:p w:rsidR="00EC0F3D" w:rsidRDefault="00EC0F3D" w:rsidP="00E7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3D" w:rsidRDefault="00EC0F3D" w:rsidP="00E74B8E">
      <w:r>
        <w:separator/>
      </w:r>
    </w:p>
  </w:footnote>
  <w:footnote w:type="continuationSeparator" w:id="0">
    <w:p w:rsidR="00EC0F3D" w:rsidRDefault="00EC0F3D" w:rsidP="00E74B8E">
      <w:r>
        <w:continuationSeparator/>
      </w:r>
    </w:p>
  </w:footnote>
  <w:footnote w:id="1">
    <w:p w:rsidR="000D01D0" w:rsidRPr="00454B2B" w:rsidRDefault="000D01D0" w:rsidP="000D01D0">
      <w:pPr>
        <w:pStyle w:val="Textonotapie"/>
        <w:spacing w:after="0" w:line="240" w:lineRule="auto"/>
        <w:rPr>
          <w:rFonts w:ascii="Arial" w:hAnsi="Arial" w:cs="Arial"/>
          <w:sz w:val="18"/>
          <w:szCs w:val="18"/>
        </w:rPr>
      </w:pPr>
      <w:r w:rsidRPr="00454B2B">
        <w:rPr>
          <w:rStyle w:val="Caracteresdenotaalpie"/>
          <w:rFonts w:ascii="Arial" w:hAnsi="Arial" w:cs="Arial"/>
          <w:sz w:val="18"/>
          <w:szCs w:val="18"/>
        </w:rPr>
        <w:footnoteRef/>
      </w:r>
      <w:r w:rsidRPr="00454B2B">
        <w:rPr>
          <w:rFonts w:ascii="Arial" w:hAnsi="Arial" w:cs="Arial"/>
          <w:sz w:val="18"/>
          <w:szCs w:val="18"/>
        </w:rPr>
        <w:tab/>
        <w:t xml:space="preserve"> COMISIÓN INTERAMERICANA DE DERECHOS HUMANOS. RELATORÍA SOBRE LOS DERECHOS DE LA NIÑEZ. </w:t>
      </w:r>
      <w:proofErr w:type="spellStart"/>
      <w:r w:rsidRPr="00454B2B">
        <w:rPr>
          <w:rFonts w:ascii="Arial" w:hAnsi="Arial" w:cs="Arial"/>
          <w:sz w:val="18"/>
          <w:szCs w:val="18"/>
        </w:rPr>
        <w:t>Op</w:t>
      </w:r>
      <w:proofErr w:type="spellEnd"/>
      <w:r w:rsidRPr="00454B2B">
        <w:rPr>
          <w:rFonts w:ascii="Arial" w:hAnsi="Arial" w:cs="Arial"/>
          <w:sz w:val="18"/>
          <w:szCs w:val="18"/>
        </w:rPr>
        <w:t>. Cit. Párrafos 16, 21 y 22.</w:t>
      </w:r>
    </w:p>
  </w:footnote>
  <w:footnote w:id="2">
    <w:p w:rsidR="000D01D0" w:rsidRPr="00454B2B" w:rsidRDefault="000D01D0" w:rsidP="000D01D0">
      <w:pPr>
        <w:pStyle w:val="Textonotapie"/>
        <w:spacing w:after="0" w:line="240" w:lineRule="auto"/>
        <w:rPr>
          <w:rFonts w:ascii="Arial" w:hAnsi="Arial" w:cs="Arial"/>
          <w:sz w:val="18"/>
          <w:szCs w:val="18"/>
        </w:rPr>
      </w:pPr>
      <w:r w:rsidRPr="00454B2B">
        <w:rPr>
          <w:rStyle w:val="Caracteresdenotaalpie"/>
          <w:rFonts w:ascii="Arial" w:hAnsi="Arial" w:cs="Arial"/>
          <w:sz w:val="18"/>
          <w:szCs w:val="18"/>
        </w:rPr>
        <w:footnoteRef/>
      </w:r>
      <w:r w:rsidRPr="00454B2B">
        <w:rPr>
          <w:rFonts w:ascii="Arial" w:hAnsi="Arial" w:cs="Arial"/>
          <w:sz w:val="18"/>
          <w:szCs w:val="18"/>
        </w:rPr>
        <w:tab/>
        <w:t xml:space="preserve"> </w:t>
      </w:r>
      <w:proofErr w:type="spellStart"/>
      <w:r w:rsidRPr="00454B2B">
        <w:rPr>
          <w:rFonts w:ascii="Arial" w:hAnsi="Arial" w:cs="Arial"/>
          <w:sz w:val="18"/>
          <w:szCs w:val="18"/>
        </w:rPr>
        <w:t>Ibid</w:t>
      </w:r>
      <w:proofErr w:type="spellEnd"/>
      <w:r w:rsidRPr="00454B2B">
        <w:rPr>
          <w:rFonts w:ascii="Arial" w:hAnsi="Arial" w:cs="Arial"/>
          <w:sz w:val="18"/>
          <w:szCs w:val="18"/>
        </w:rPr>
        <w:t>. Párrafo 34.</w:t>
      </w:r>
    </w:p>
  </w:footnote>
  <w:footnote w:id="3">
    <w:p w:rsidR="009A0ABA" w:rsidRPr="00454B2B" w:rsidRDefault="009A0ABA" w:rsidP="009A0ABA">
      <w:pPr>
        <w:pStyle w:val="Textonotapie"/>
        <w:spacing w:after="0" w:line="240" w:lineRule="auto"/>
        <w:rPr>
          <w:rFonts w:ascii="Arial" w:hAnsi="Arial" w:cs="Arial"/>
          <w:sz w:val="18"/>
          <w:szCs w:val="18"/>
        </w:rPr>
      </w:pPr>
      <w:r w:rsidRPr="00454B2B">
        <w:rPr>
          <w:rStyle w:val="Caracteresdenotaalpie"/>
          <w:rFonts w:ascii="Arial" w:hAnsi="Arial" w:cs="Arial"/>
          <w:sz w:val="18"/>
          <w:szCs w:val="18"/>
        </w:rPr>
        <w:footnoteRef/>
      </w:r>
      <w:r w:rsidRPr="00454B2B">
        <w:rPr>
          <w:rFonts w:ascii="Arial" w:hAnsi="Arial" w:cs="Arial"/>
          <w:sz w:val="18"/>
          <w:szCs w:val="18"/>
        </w:rPr>
        <w:tab/>
        <w:t xml:space="preserve"> </w:t>
      </w:r>
      <w:proofErr w:type="spellStart"/>
      <w:r w:rsidRPr="00454B2B">
        <w:rPr>
          <w:rFonts w:ascii="Arial" w:hAnsi="Arial" w:cs="Arial"/>
          <w:sz w:val="18"/>
          <w:szCs w:val="18"/>
        </w:rPr>
        <w:t>Ibid</w:t>
      </w:r>
      <w:proofErr w:type="spellEnd"/>
      <w:r w:rsidRPr="00454B2B">
        <w:rPr>
          <w:rFonts w:ascii="Arial" w:hAnsi="Arial" w:cs="Arial"/>
          <w:sz w:val="18"/>
          <w:szCs w:val="18"/>
        </w:rPr>
        <w:t>. Párrafo 14.</w:t>
      </w:r>
    </w:p>
  </w:footnote>
  <w:footnote w:id="4">
    <w:p w:rsidR="009A0ABA" w:rsidRPr="00454B2B" w:rsidRDefault="009A0ABA" w:rsidP="009A0ABA">
      <w:pPr>
        <w:pStyle w:val="Textonotapie"/>
        <w:spacing w:after="0" w:line="240" w:lineRule="auto"/>
        <w:rPr>
          <w:rFonts w:ascii="Arial" w:hAnsi="Arial" w:cs="Arial"/>
          <w:sz w:val="18"/>
          <w:szCs w:val="18"/>
        </w:rPr>
      </w:pPr>
      <w:r w:rsidRPr="00454B2B">
        <w:rPr>
          <w:rStyle w:val="Caracteresdenotaalpie"/>
          <w:rFonts w:ascii="Arial" w:hAnsi="Arial" w:cs="Arial"/>
          <w:sz w:val="18"/>
          <w:szCs w:val="18"/>
        </w:rPr>
        <w:footnoteRef/>
      </w:r>
      <w:r w:rsidRPr="00454B2B">
        <w:rPr>
          <w:rFonts w:ascii="Arial" w:hAnsi="Arial" w:cs="Arial"/>
          <w:sz w:val="18"/>
          <w:szCs w:val="18"/>
        </w:rPr>
        <w:tab/>
        <w:t xml:space="preserve"> </w:t>
      </w:r>
      <w:proofErr w:type="spellStart"/>
      <w:r w:rsidRPr="00454B2B">
        <w:rPr>
          <w:rFonts w:ascii="Arial" w:hAnsi="Arial" w:cs="Arial"/>
          <w:sz w:val="18"/>
          <w:szCs w:val="18"/>
        </w:rPr>
        <w:t>Ibid</w:t>
      </w:r>
      <w:proofErr w:type="spellEnd"/>
      <w:r w:rsidRPr="00454B2B">
        <w:rPr>
          <w:rFonts w:ascii="Arial" w:hAnsi="Arial" w:cs="Arial"/>
          <w:sz w:val="18"/>
          <w:szCs w:val="18"/>
        </w:rPr>
        <w:t>. Párrafos 24 y 26.</w:t>
      </w:r>
    </w:p>
  </w:footnote>
  <w:footnote w:id="5">
    <w:p w:rsidR="000D01D0" w:rsidRDefault="000D01D0" w:rsidP="000D01D0">
      <w:pPr>
        <w:pStyle w:val="Textonotapie"/>
      </w:pPr>
      <w:r>
        <w:rPr>
          <w:rStyle w:val="Refdenotaalpie"/>
        </w:rPr>
        <w:footnoteRef/>
      </w:r>
      <w:r>
        <w:t xml:space="preserve"> Ley Orgánica del Ministerio Público</w:t>
      </w:r>
    </w:p>
  </w:footnote>
  <w:footnote w:id="6">
    <w:p w:rsidR="000D01D0" w:rsidRDefault="000D01D0" w:rsidP="000D01D0">
      <w:pPr>
        <w:pStyle w:val="Textonotapie"/>
      </w:pPr>
      <w:r>
        <w:rPr>
          <w:rStyle w:val="Refdenotaalpie"/>
        </w:rPr>
        <w:footnoteRef/>
      </w:r>
      <w:r>
        <w:t xml:space="preserve"> Aprobación del Programa “Persecución Estratégica del Delito”</w:t>
      </w:r>
    </w:p>
  </w:footnote>
  <w:footnote w:id="7">
    <w:p w:rsidR="000D01D0" w:rsidRDefault="000D01D0" w:rsidP="000D01D0">
      <w:pPr>
        <w:pStyle w:val="Textonotapie"/>
      </w:pPr>
      <w:r>
        <w:rPr>
          <w:rStyle w:val="Refdenotaalpie"/>
        </w:rPr>
        <w:footnoteRef/>
      </w:r>
      <w:r>
        <w:t xml:space="preserve"> Reglamento Interno del Programa de “Jóvenes Líderes”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0355A"/>
    <w:multiLevelType w:val="hybridMultilevel"/>
    <w:tmpl w:val="90EAD9D4"/>
    <w:lvl w:ilvl="0" w:tplc="35D6B4EC">
      <w:start w:val="1"/>
      <w:numFmt w:val="decimal"/>
      <w:lvlText w:val="%1."/>
      <w:lvlJc w:val="left"/>
      <w:pPr>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4B8E"/>
    <w:rsid w:val="000019BB"/>
    <w:rsid w:val="000D01D0"/>
    <w:rsid w:val="00203D0B"/>
    <w:rsid w:val="00215B59"/>
    <w:rsid w:val="00577076"/>
    <w:rsid w:val="009A0ABA"/>
    <w:rsid w:val="00BF3723"/>
    <w:rsid w:val="00E74B8E"/>
    <w:rsid w:val="00EC0F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CC8C4-634F-4FE9-9C63-D9A040A8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8E"/>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74B8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E74B8E"/>
    <w:rPr>
      <w:vertAlign w:val="superscript"/>
    </w:rPr>
  </w:style>
  <w:style w:type="paragraph" w:styleId="Textonotapie">
    <w:name w:val="footnote text"/>
    <w:basedOn w:val="Normal"/>
    <w:link w:val="TextonotapieCar"/>
    <w:uiPriority w:val="99"/>
    <w:rsid w:val="00E74B8E"/>
    <w:pPr>
      <w:suppressAutoHyphens/>
      <w:spacing w:after="200" w:line="276" w:lineRule="auto"/>
    </w:pPr>
    <w:rPr>
      <w:rFonts w:ascii="Calibri" w:eastAsia="Calibri" w:hAnsi="Calibri"/>
      <w:sz w:val="20"/>
      <w:szCs w:val="20"/>
      <w:lang w:val="es-PE" w:eastAsia="ar-SA"/>
    </w:rPr>
  </w:style>
  <w:style w:type="character" w:customStyle="1" w:styleId="TextonotapieCar">
    <w:name w:val="Texto nota pie Car"/>
    <w:basedOn w:val="Fuentedeprrafopredeter"/>
    <w:link w:val="Textonotapie"/>
    <w:uiPriority w:val="99"/>
    <w:rsid w:val="00E74B8E"/>
    <w:rPr>
      <w:rFonts w:ascii="Calibri" w:eastAsia="Calibri" w:hAnsi="Calibri" w:cs="Times New Roman"/>
      <w:sz w:val="20"/>
      <w:szCs w:val="20"/>
      <w:lang w:eastAsia="ar-SA"/>
    </w:rPr>
  </w:style>
  <w:style w:type="paragraph" w:styleId="Prrafodelista">
    <w:name w:val="List Paragraph"/>
    <w:basedOn w:val="Normal"/>
    <w:qFormat/>
    <w:rsid w:val="00E74B8E"/>
    <w:pPr>
      <w:suppressAutoHyphens/>
      <w:spacing w:after="200" w:line="276" w:lineRule="auto"/>
      <w:ind w:left="720"/>
    </w:pPr>
    <w:rPr>
      <w:rFonts w:ascii="Calibri" w:eastAsia="Calibri" w:hAnsi="Calibri"/>
      <w:sz w:val="22"/>
      <w:szCs w:val="22"/>
      <w:lang w:eastAsia="ar-SA"/>
    </w:rPr>
  </w:style>
  <w:style w:type="character" w:customStyle="1" w:styleId="Ttulo4Car">
    <w:name w:val="Título 4 Car"/>
    <w:basedOn w:val="Fuentedeprrafopredeter"/>
    <w:link w:val="Ttulo4"/>
    <w:rsid w:val="00E74B8E"/>
    <w:rPr>
      <w:rFonts w:ascii="Times New Roman" w:eastAsia="Times New Roman" w:hAnsi="Times New Roman" w:cs="Times New Roman"/>
      <w:b/>
      <w:bCs/>
      <w:sz w:val="28"/>
      <w:szCs w:val="28"/>
      <w:lang w:val="es-ES" w:eastAsia="es-ES"/>
    </w:rPr>
  </w:style>
  <w:style w:type="character" w:styleId="Refdenotaalpie">
    <w:name w:val="footnote reference"/>
    <w:uiPriority w:val="99"/>
    <w:rsid w:val="00E74B8E"/>
    <w:rPr>
      <w:vertAlign w:val="superscript"/>
    </w:rPr>
  </w:style>
  <w:style w:type="paragraph" w:customStyle="1" w:styleId="Default">
    <w:name w:val="Default"/>
    <w:rsid w:val="00E74B8E"/>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FN</cp:lastModifiedBy>
  <cp:revision>2</cp:revision>
  <cp:lastPrinted>2016-05-10T14:17:00Z</cp:lastPrinted>
  <dcterms:created xsi:type="dcterms:W3CDTF">2016-05-10T16:20:00Z</dcterms:created>
  <dcterms:modified xsi:type="dcterms:W3CDTF">2016-05-10T16:20:00Z</dcterms:modified>
</cp:coreProperties>
</file>